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2"/>
          <w:szCs w:val="32"/>
        </w:rPr>
      </w:pPr>
      <w:r>
        <w:rPr>
          <w:rFonts w:hint="eastAsia" w:ascii="宋体" w:hAnsi="宋体" w:cs="宋体"/>
          <w:b/>
          <w:sz w:val="32"/>
          <w:szCs w:val="32"/>
        </w:rPr>
        <w:t>2020年企业社会责任报告</w:t>
      </w:r>
    </w:p>
    <w:p>
      <w:pPr>
        <w:ind w:firstLine="560" w:firstLineChars="200"/>
        <w:rPr>
          <w:rFonts w:ascii="宋体" w:hAnsi="宋体" w:cs="宋体"/>
          <w:sz w:val="28"/>
          <w:szCs w:val="28"/>
        </w:rPr>
      </w:pPr>
      <w:r>
        <w:rPr>
          <w:rFonts w:hint="eastAsia" w:ascii="宋体" w:hAnsi="宋体" w:cs="宋体"/>
          <w:sz w:val="28"/>
          <w:szCs w:val="28"/>
        </w:rPr>
        <w:t>芜湖久弘重工股份有限公司在谋求自身发展及全体职工经济利益的同时，积极关注包括国家和社会、环境、客户及社区在内的利益相关者的共同利益，促进社会经济的可持续发展。为构建和谐社会，积极承担社会责任，规范公司社会行为，自觉接受社会监督，形成自我约束、自我发展的机制，现发布芜湖久弘重工股份有限公司（以下简称“公司”）2020年社会责任报告如下：</w:t>
      </w:r>
    </w:p>
    <w:p>
      <w:pPr>
        <w:ind w:firstLine="562" w:firstLineChars="200"/>
        <w:rPr>
          <w:rFonts w:ascii="宋体" w:hAnsi="宋体" w:cs="宋体"/>
          <w:b/>
          <w:sz w:val="28"/>
          <w:szCs w:val="28"/>
        </w:rPr>
      </w:pPr>
      <w:r>
        <w:rPr>
          <w:rFonts w:hint="eastAsia" w:ascii="宋体" w:hAnsi="宋体" w:cs="宋体"/>
          <w:b/>
          <w:sz w:val="28"/>
          <w:szCs w:val="28"/>
        </w:rPr>
        <w:t>一、公司2020年度社会责任指标情况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409"/>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Align w:val="center"/>
          </w:tcPr>
          <w:p>
            <w:pPr>
              <w:jc w:val="center"/>
              <w:rPr>
                <w:rFonts w:ascii="宋体" w:hAnsi="宋体" w:cs="宋体"/>
                <w:sz w:val="24"/>
                <w:szCs w:val="24"/>
              </w:rPr>
            </w:pPr>
            <w:r>
              <w:rPr>
                <w:rFonts w:hint="eastAsia" w:ascii="宋体" w:hAnsi="宋体" w:cs="宋体"/>
                <w:sz w:val="24"/>
                <w:szCs w:val="24"/>
              </w:rPr>
              <w:t>利益相关者</w:t>
            </w:r>
          </w:p>
        </w:tc>
        <w:tc>
          <w:tcPr>
            <w:tcW w:w="2409" w:type="dxa"/>
            <w:vAlign w:val="center"/>
          </w:tcPr>
          <w:p>
            <w:pPr>
              <w:jc w:val="center"/>
              <w:rPr>
                <w:rFonts w:ascii="宋体" w:hAnsi="宋体" w:cs="宋体"/>
                <w:sz w:val="24"/>
                <w:szCs w:val="24"/>
              </w:rPr>
            </w:pPr>
            <w:r>
              <w:rPr>
                <w:rFonts w:hint="eastAsia" w:ascii="宋体" w:hAnsi="宋体" w:cs="宋体"/>
                <w:sz w:val="24"/>
                <w:szCs w:val="24"/>
              </w:rPr>
              <w:t>关注点</w:t>
            </w:r>
          </w:p>
        </w:tc>
        <w:tc>
          <w:tcPr>
            <w:tcW w:w="4332" w:type="dxa"/>
            <w:vAlign w:val="center"/>
          </w:tcPr>
          <w:p>
            <w:pPr>
              <w:jc w:val="center"/>
              <w:rPr>
                <w:rFonts w:ascii="宋体" w:hAnsi="宋体" w:cs="宋体"/>
                <w:sz w:val="24"/>
                <w:szCs w:val="24"/>
              </w:rPr>
            </w:pPr>
            <w:r>
              <w:rPr>
                <w:rFonts w:hint="eastAsia" w:ascii="宋体" w:hAnsi="宋体" w:cs="宋体"/>
                <w:sz w:val="24"/>
                <w:szCs w:val="24"/>
              </w:rPr>
              <w:t>关键业绩指标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restart"/>
            <w:vAlign w:val="center"/>
          </w:tcPr>
          <w:p>
            <w:pPr>
              <w:jc w:val="center"/>
              <w:rPr>
                <w:rFonts w:ascii="宋体" w:hAnsi="宋体" w:cs="宋体"/>
                <w:sz w:val="24"/>
                <w:szCs w:val="24"/>
              </w:rPr>
            </w:pPr>
            <w:r>
              <w:rPr>
                <w:rFonts w:hint="eastAsia" w:ascii="宋体" w:hAnsi="宋体" w:cs="宋体"/>
                <w:sz w:val="24"/>
                <w:szCs w:val="24"/>
              </w:rPr>
              <w:t>1、国家和社会</w:t>
            </w:r>
          </w:p>
        </w:tc>
        <w:tc>
          <w:tcPr>
            <w:tcW w:w="2409" w:type="dxa"/>
            <w:vAlign w:val="center"/>
          </w:tcPr>
          <w:p>
            <w:pPr>
              <w:jc w:val="center"/>
              <w:rPr>
                <w:rFonts w:ascii="宋体" w:hAnsi="宋体" w:cs="宋体"/>
                <w:sz w:val="24"/>
                <w:szCs w:val="24"/>
              </w:rPr>
            </w:pPr>
            <w:r>
              <w:rPr>
                <w:rFonts w:hint="eastAsia" w:ascii="宋体" w:hAnsi="宋体" w:cs="宋体"/>
                <w:sz w:val="24"/>
                <w:szCs w:val="24"/>
              </w:rPr>
              <w:t>主营业务收入</w:t>
            </w:r>
          </w:p>
        </w:tc>
        <w:tc>
          <w:tcPr>
            <w:tcW w:w="4332" w:type="dxa"/>
            <w:vAlign w:val="center"/>
          </w:tcPr>
          <w:p>
            <w:pPr>
              <w:jc w:val="center"/>
              <w:rPr>
                <w:rFonts w:ascii="宋体" w:hAnsi="宋体" w:cs="宋体"/>
                <w:sz w:val="24"/>
                <w:szCs w:val="24"/>
              </w:rPr>
            </w:pPr>
            <w:r>
              <w:rPr>
                <w:rFonts w:hint="eastAsia" w:ascii="宋体" w:hAnsi="宋体" w:cs="宋体"/>
                <w:sz w:val="24"/>
                <w:szCs w:val="24"/>
              </w:rPr>
              <w:t>21923.84万元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财政收入</w:t>
            </w:r>
          </w:p>
        </w:tc>
        <w:tc>
          <w:tcPr>
            <w:tcW w:w="4332" w:type="dxa"/>
            <w:vAlign w:val="center"/>
          </w:tcPr>
          <w:p>
            <w:pPr>
              <w:jc w:val="center"/>
              <w:rPr>
                <w:rFonts w:ascii="宋体" w:hAnsi="宋体" w:cs="宋体"/>
                <w:sz w:val="24"/>
                <w:szCs w:val="24"/>
              </w:rPr>
            </w:pPr>
            <w:r>
              <w:rPr>
                <w:rFonts w:hint="eastAsia" w:ascii="宋体" w:hAnsi="宋体" w:cs="宋体"/>
                <w:sz w:val="24"/>
                <w:szCs w:val="24"/>
              </w:rPr>
              <w:t>当年上缴税费总额45.40万元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劳动就业</w:t>
            </w:r>
          </w:p>
        </w:tc>
        <w:tc>
          <w:tcPr>
            <w:tcW w:w="4332" w:type="dxa"/>
            <w:vAlign w:val="center"/>
          </w:tcPr>
          <w:p>
            <w:pPr>
              <w:jc w:val="center"/>
              <w:rPr>
                <w:rFonts w:ascii="宋体" w:hAnsi="宋体" w:cs="宋体"/>
                <w:sz w:val="24"/>
                <w:szCs w:val="24"/>
              </w:rPr>
            </w:pPr>
            <w:r>
              <w:rPr>
                <w:rFonts w:hint="eastAsia" w:ascii="宋体" w:hAnsi="宋体" w:cs="宋体"/>
                <w:sz w:val="24"/>
                <w:szCs w:val="24"/>
              </w:rPr>
              <w:t>在职员工人数280人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restart"/>
            <w:vAlign w:val="center"/>
          </w:tcPr>
          <w:p>
            <w:pPr>
              <w:jc w:val="center"/>
              <w:rPr>
                <w:rFonts w:ascii="宋体" w:hAnsi="宋体" w:cs="宋体"/>
                <w:sz w:val="24"/>
                <w:szCs w:val="24"/>
              </w:rPr>
            </w:pPr>
            <w:r>
              <w:rPr>
                <w:rFonts w:hint="eastAsia" w:ascii="宋体" w:hAnsi="宋体" w:cs="宋体"/>
                <w:sz w:val="24"/>
                <w:szCs w:val="24"/>
              </w:rPr>
              <w:t>2、职工</w:t>
            </w:r>
          </w:p>
        </w:tc>
        <w:tc>
          <w:tcPr>
            <w:tcW w:w="2409" w:type="dxa"/>
            <w:vAlign w:val="center"/>
          </w:tcPr>
          <w:p>
            <w:pPr>
              <w:jc w:val="center"/>
              <w:rPr>
                <w:rFonts w:ascii="宋体" w:hAnsi="宋体" w:cs="宋体"/>
                <w:sz w:val="24"/>
                <w:szCs w:val="24"/>
              </w:rPr>
            </w:pPr>
            <w:r>
              <w:rPr>
                <w:rFonts w:hint="eastAsia" w:ascii="宋体" w:hAnsi="宋体" w:cs="宋体"/>
                <w:sz w:val="24"/>
                <w:szCs w:val="24"/>
              </w:rPr>
              <w:t>劳动合同</w:t>
            </w:r>
          </w:p>
        </w:tc>
        <w:tc>
          <w:tcPr>
            <w:tcW w:w="4332" w:type="dxa"/>
            <w:vAlign w:val="center"/>
          </w:tcPr>
          <w:p>
            <w:pPr>
              <w:jc w:val="center"/>
              <w:rPr>
                <w:rFonts w:ascii="宋体" w:hAnsi="宋体" w:cs="宋体"/>
                <w:sz w:val="24"/>
                <w:szCs w:val="24"/>
              </w:rPr>
            </w:pPr>
            <w:r>
              <w:rPr>
                <w:rFonts w:hint="eastAsia" w:ascii="宋体" w:hAnsi="宋体" w:cs="宋体"/>
                <w:sz w:val="24"/>
                <w:szCs w:val="24"/>
              </w:rPr>
              <w:t>签订率100%，及时续签率100%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安全生产</w:t>
            </w:r>
          </w:p>
        </w:tc>
        <w:tc>
          <w:tcPr>
            <w:tcW w:w="4332" w:type="dxa"/>
            <w:vAlign w:val="center"/>
          </w:tcPr>
          <w:p>
            <w:pPr>
              <w:jc w:val="center"/>
              <w:rPr>
                <w:rFonts w:ascii="宋体" w:hAnsi="宋体" w:cs="宋体"/>
                <w:sz w:val="24"/>
                <w:szCs w:val="24"/>
              </w:rPr>
            </w:pPr>
            <w:r>
              <w:rPr>
                <w:rFonts w:hint="eastAsia" w:ascii="宋体" w:hAnsi="宋体" w:cs="宋体"/>
                <w:sz w:val="24"/>
                <w:szCs w:val="24"/>
              </w:rPr>
              <w:t>杜绝了重大事故和人身伤亡事故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职业病发病率</w:t>
            </w:r>
          </w:p>
        </w:tc>
        <w:tc>
          <w:tcPr>
            <w:tcW w:w="4332" w:type="dxa"/>
            <w:vAlign w:val="center"/>
          </w:tcPr>
          <w:p>
            <w:pPr>
              <w:jc w:val="center"/>
              <w:rPr>
                <w:rFonts w:ascii="宋体" w:hAnsi="宋体" w:cs="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劳动争议案件</w:t>
            </w:r>
          </w:p>
        </w:tc>
        <w:tc>
          <w:tcPr>
            <w:tcW w:w="4332" w:type="dxa"/>
            <w:vAlign w:val="center"/>
          </w:tcPr>
          <w:p>
            <w:pPr>
              <w:jc w:val="center"/>
              <w:rPr>
                <w:rFonts w:ascii="宋体" w:hAnsi="宋体" w:cs="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restart"/>
            <w:vAlign w:val="center"/>
          </w:tcPr>
          <w:p>
            <w:pPr>
              <w:jc w:val="center"/>
              <w:rPr>
                <w:rFonts w:ascii="宋体" w:hAnsi="宋体" w:cs="宋体"/>
                <w:sz w:val="24"/>
                <w:szCs w:val="24"/>
              </w:rPr>
            </w:pPr>
            <w:r>
              <w:rPr>
                <w:rFonts w:hint="eastAsia" w:ascii="宋体" w:hAnsi="宋体" w:cs="宋体"/>
                <w:sz w:val="24"/>
                <w:szCs w:val="24"/>
              </w:rPr>
              <w:t>3、供应商</w:t>
            </w:r>
          </w:p>
        </w:tc>
        <w:tc>
          <w:tcPr>
            <w:tcW w:w="2409" w:type="dxa"/>
            <w:vAlign w:val="center"/>
          </w:tcPr>
          <w:p>
            <w:pPr>
              <w:jc w:val="center"/>
              <w:rPr>
                <w:rFonts w:ascii="宋体" w:hAnsi="宋体" w:cs="宋体"/>
                <w:sz w:val="24"/>
                <w:szCs w:val="24"/>
              </w:rPr>
            </w:pPr>
            <w:r>
              <w:rPr>
                <w:rFonts w:hint="eastAsia" w:ascii="宋体" w:hAnsi="宋体" w:cs="宋体"/>
                <w:sz w:val="24"/>
                <w:szCs w:val="24"/>
              </w:rPr>
              <w:t>管理制度</w:t>
            </w:r>
          </w:p>
        </w:tc>
        <w:tc>
          <w:tcPr>
            <w:tcW w:w="4332" w:type="dxa"/>
            <w:vAlign w:val="center"/>
          </w:tcPr>
          <w:p>
            <w:pPr>
              <w:jc w:val="center"/>
              <w:rPr>
                <w:rFonts w:ascii="宋体" w:hAnsi="宋体" w:cs="宋体"/>
                <w:sz w:val="24"/>
                <w:szCs w:val="24"/>
              </w:rPr>
            </w:pPr>
            <w:r>
              <w:rPr>
                <w:rFonts w:hint="eastAsia" w:ascii="宋体" w:hAnsi="宋体" w:cs="宋体"/>
                <w:sz w:val="24"/>
                <w:szCs w:val="24"/>
              </w:rPr>
              <w:t>供方评定制度、招投标制度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供应商关系</w:t>
            </w:r>
          </w:p>
        </w:tc>
        <w:tc>
          <w:tcPr>
            <w:tcW w:w="4332" w:type="dxa"/>
            <w:vAlign w:val="center"/>
          </w:tcPr>
          <w:p>
            <w:pPr>
              <w:jc w:val="center"/>
              <w:rPr>
                <w:rFonts w:ascii="宋体" w:hAnsi="宋体" w:cs="宋体"/>
                <w:sz w:val="24"/>
                <w:szCs w:val="24"/>
              </w:rPr>
            </w:pPr>
            <w:r>
              <w:rPr>
                <w:rFonts w:hint="eastAsia" w:ascii="宋体" w:hAnsi="宋体" w:cs="宋体"/>
                <w:sz w:val="24"/>
                <w:szCs w:val="24"/>
              </w:rPr>
              <w:t>合作共赢、供需稳定、共降成本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供应商起诉</w:t>
            </w:r>
          </w:p>
        </w:tc>
        <w:tc>
          <w:tcPr>
            <w:tcW w:w="4332" w:type="dxa"/>
            <w:vAlign w:val="center"/>
          </w:tcPr>
          <w:p>
            <w:pPr>
              <w:jc w:val="center"/>
              <w:rPr>
                <w:rFonts w:ascii="宋体" w:hAnsi="宋体" w:cs="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商业贿赂和腐败事件</w:t>
            </w:r>
          </w:p>
        </w:tc>
        <w:tc>
          <w:tcPr>
            <w:tcW w:w="4332" w:type="dxa"/>
            <w:vAlign w:val="center"/>
          </w:tcPr>
          <w:p>
            <w:pPr>
              <w:jc w:val="center"/>
              <w:rPr>
                <w:rFonts w:ascii="宋体" w:hAnsi="宋体" w:cs="宋体"/>
                <w:sz w:val="24"/>
                <w:szCs w:val="24"/>
              </w:rPr>
            </w:pPr>
            <w:r>
              <w:rPr>
                <w:rFonts w:hint="eastAsia" w:ascii="宋体" w:hAnsi="宋体" w:cs="宋体"/>
                <w:sz w:val="24"/>
                <w:szCs w:val="24"/>
              </w:rPr>
              <w:t>无，公司与供应商签订廉洁供应责任书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restart"/>
            <w:vAlign w:val="center"/>
          </w:tcPr>
          <w:p>
            <w:pPr>
              <w:jc w:val="center"/>
              <w:rPr>
                <w:rFonts w:ascii="宋体" w:hAnsi="宋体" w:cs="宋体"/>
                <w:sz w:val="24"/>
                <w:szCs w:val="24"/>
              </w:rPr>
            </w:pPr>
            <w:r>
              <w:rPr>
                <w:rFonts w:hint="eastAsia" w:ascii="宋体" w:hAnsi="宋体" w:cs="宋体"/>
                <w:sz w:val="24"/>
                <w:szCs w:val="24"/>
              </w:rPr>
              <w:t>4、客户</w:t>
            </w:r>
          </w:p>
        </w:tc>
        <w:tc>
          <w:tcPr>
            <w:tcW w:w="2409" w:type="dxa"/>
            <w:vAlign w:val="center"/>
          </w:tcPr>
          <w:p>
            <w:pPr>
              <w:jc w:val="center"/>
              <w:rPr>
                <w:rFonts w:ascii="宋体" w:hAnsi="宋体" w:cs="宋体"/>
                <w:sz w:val="24"/>
                <w:szCs w:val="24"/>
              </w:rPr>
            </w:pPr>
            <w:r>
              <w:rPr>
                <w:rFonts w:hint="eastAsia" w:ascii="宋体" w:hAnsi="宋体" w:cs="宋体"/>
                <w:sz w:val="24"/>
                <w:szCs w:val="24"/>
              </w:rPr>
              <w:t>质量保证体系</w:t>
            </w:r>
          </w:p>
        </w:tc>
        <w:tc>
          <w:tcPr>
            <w:tcW w:w="4332" w:type="dxa"/>
            <w:vAlign w:val="center"/>
          </w:tcPr>
          <w:p>
            <w:pPr>
              <w:jc w:val="center"/>
              <w:rPr>
                <w:rFonts w:ascii="宋体" w:hAnsi="宋体" w:cs="宋体"/>
                <w:sz w:val="24"/>
                <w:szCs w:val="24"/>
              </w:rPr>
            </w:pPr>
            <w:r>
              <w:rPr>
                <w:rFonts w:hint="eastAsia" w:ascii="宋体" w:hAnsi="宋体" w:cs="宋体"/>
                <w:sz w:val="24"/>
                <w:szCs w:val="24"/>
              </w:rPr>
              <w:t>通过第三方复审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营销政策</w:t>
            </w:r>
          </w:p>
        </w:tc>
        <w:tc>
          <w:tcPr>
            <w:tcW w:w="4332" w:type="dxa"/>
            <w:vAlign w:val="center"/>
          </w:tcPr>
          <w:p>
            <w:pPr>
              <w:jc w:val="center"/>
              <w:rPr>
                <w:rFonts w:ascii="宋体" w:hAnsi="宋体" w:cs="宋体"/>
                <w:sz w:val="24"/>
                <w:szCs w:val="24"/>
              </w:rPr>
            </w:pPr>
            <w:r>
              <w:rPr>
                <w:rFonts w:hint="eastAsia" w:ascii="宋体" w:hAnsi="宋体" w:cs="宋体"/>
                <w:sz w:val="24"/>
                <w:szCs w:val="24"/>
              </w:rPr>
              <w:t>实施精品工程，特色化服务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顾客满意度</w:t>
            </w:r>
          </w:p>
        </w:tc>
        <w:tc>
          <w:tcPr>
            <w:tcW w:w="4332" w:type="dxa"/>
            <w:vAlign w:val="center"/>
          </w:tcPr>
          <w:p>
            <w:pPr>
              <w:jc w:val="center"/>
              <w:rPr>
                <w:rFonts w:ascii="宋体" w:hAnsi="宋体" w:cs="宋体"/>
                <w:sz w:val="24"/>
                <w:szCs w:val="24"/>
              </w:rPr>
            </w:pPr>
            <w:r>
              <w:rPr>
                <w:rFonts w:hint="eastAsia" w:ascii="宋体" w:hAnsi="宋体" w:cs="宋体"/>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商业贿赂和腐败事件</w:t>
            </w:r>
          </w:p>
        </w:tc>
        <w:tc>
          <w:tcPr>
            <w:tcW w:w="4332" w:type="dxa"/>
            <w:vAlign w:val="center"/>
          </w:tcPr>
          <w:p>
            <w:pPr>
              <w:jc w:val="center"/>
              <w:rPr>
                <w:rFonts w:ascii="宋体" w:hAnsi="宋体" w:cs="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顾客投诉</w:t>
            </w:r>
          </w:p>
        </w:tc>
        <w:tc>
          <w:tcPr>
            <w:tcW w:w="4332" w:type="dxa"/>
            <w:vAlign w:val="center"/>
          </w:tcPr>
          <w:p>
            <w:pPr>
              <w:jc w:val="center"/>
              <w:rPr>
                <w:rFonts w:ascii="宋体" w:hAnsi="宋体" w:cs="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产品质量查处</w:t>
            </w:r>
          </w:p>
        </w:tc>
        <w:tc>
          <w:tcPr>
            <w:tcW w:w="4332" w:type="dxa"/>
            <w:vAlign w:val="center"/>
          </w:tcPr>
          <w:p>
            <w:pPr>
              <w:jc w:val="center"/>
              <w:rPr>
                <w:rFonts w:ascii="宋体" w:hAnsi="宋体" w:cs="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产品质量赔偿</w:t>
            </w:r>
          </w:p>
        </w:tc>
        <w:tc>
          <w:tcPr>
            <w:tcW w:w="4332" w:type="dxa"/>
            <w:vAlign w:val="center"/>
          </w:tcPr>
          <w:p>
            <w:pPr>
              <w:jc w:val="center"/>
              <w:rPr>
                <w:rFonts w:ascii="宋体" w:hAnsi="宋体" w:cs="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restart"/>
            <w:vAlign w:val="center"/>
          </w:tcPr>
          <w:p>
            <w:pPr>
              <w:jc w:val="center"/>
              <w:rPr>
                <w:rFonts w:ascii="宋体" w:hAnsi="宋体" w:cs="宋体"/>
                <w:sz w:val="24"/>
                <w:szCs w:val="24"/>
              </w:rPr>
            </w:pPr>
            <w:r>
              <w:rPr>
                <w:rFonts w:hint="eastAsia" w:ascii="宋体" w:hAnsi="宋体" w:cs="宋体"/>
                <w:sz w:val="24"/>
                <w:szCs w:val="24"/>
              </w:rPr>
              <w:t>5、环境保护和节能减排</w:t>
            </w:r>
          </w:p>
        </w:tc>
        <w:tc>
          <w:tcPr>
            <w:tcW w:w="2409" w:type="dxa"/>
            <w:vAlign w:val="center"/>
          </w:tcPr>
          <w:p>
            <w:pPr>
              <w:jc w:val="center"/>
              <w:rPr>
                <w:rFonts w:ascii="宋体" w:hAnsi="宋体" w:cs="宋体"/>
                <w:sz w:val="24"/>
                <w:szCs w:val="24"/>
              </w:rPr>
            </w:pPr>
            <w:r>
              <w:rPr>
                <w:rFonts w:hint="eastAsia" w:ascii="宋体" w:hAnsi="宋体" w:cs="宋体"/>
                <w:sz w:val="24"/>
                <w:szCs w:val="24"/>
              </w:rPr>
              <w:t>公司政策</w:t>
            </w:r>
          </w:p>
        </w:tc>
        <w:tc>
          <w:tcPr>
            <w:tcW w:w="4332" w:type="dxa"/>
            <w:vAlign w:val="center"/>
          </w:tcPr>
          <w:p>
            <w:pPr>
              <w:jc w:val="center"/>
              <w:rPr>
                <w:rFonts w:ascii="宋体" w:hAnsi="宋体" w:cs="宋体"/>
                <w:sz w:val="24"/>
                <w:szCs w:val="24"/>
              </w:rPr>
            </w:pPr>
            <w:r>
              <w:rPr>
                <w:rFonts w:hint="eastAsia" w:ascii="宋体" w:hAnsi="宋体" w:cs="宋体"/>
                <w:sz w:val="24"/>
                <w:szCs w:val="24"/>
              </w:rPr>
              <w:t>绿色生产，持续发展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环境管理体系</w:t>
            </w:r>
          </w:p>
        </w:tc>
        <w:tc>
          <w:tcPr>
            <w:tcW w:w="4332" w:type="dxa"/>
            <w:vAlign w:val="center"/>
          </w:tcPr>
          <w:p>
            <w:pPr>
              <w:jc w:val="center"/>
              <w:rPr>
                <w:rFonts w:ascii="宋体" w:hAnsi="宋体" w:cs="宋体"/>
                <w:sz w:val="24"/>
                <w:szCs w:val="24"/>
              </w:rPr>
            </w:pPr>
            <w:r>
              <w:rPr>
                <w:rFonts w:hint="eastAsia" w:ascii="宋体" w:hAnsi="宋体" w:cs="宋体"/>
                <w:sz w:val="24"/>
                <w:szCs w:val="24"/>
              </w:rPr>
              <w:t>通过第三方认证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环境污染事件</w:t>
            </w:r>
          </w:p>
        </w:tc>
        <w:tc>
          <w:tcPr>
            <w:tcW w:w="4332" w:type="dxa"/>
            <w:vAlign w:val="center"/>
          </w:tcPr>
          <w:p>
            <w:pPr>
              <w:jc w:val="center"/>
              <w:rPr>
                <w:rFonts w:ascii="宋体" w:hAnsi="宋体" w:cs="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“三废”排放</w:t>
            </w:r>
          </w:p>
        </w:tc>
        <w:tc>
          <w:tcPr>
            <w:tcW w:w="4332" w:type="dxa"/>
            <w:vAlign w:val="center"/>
          </w:tcPr>
          <w:p>
            <w:pPr>
              <w:jc w:val="center"/>
              <w:rPr>
                <w:rFonts w:ascii="宋体" w:hAnsi="宋体" w:cs="宋体"/>
                <w:sz w:val="24"/>
                <w:szCs w:val="24"/>
              </w:rPr>
            </w:pPr>
            <w:r>
              <w:rPr>
                <w:rFonts w:hint="eastAsia" w:ascii="宋体" w:hAnsi="宋体" w:cs="宋体"/>
                <w:sz w:val="24"/>
                <w:szCs w:val="24"/>
              </w:rPr>
              <w:t>符合有关要求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restart"/>
            <w:vAlign w:val="center"/>
          </w:tcPr>
          <w:p>
            <w:pPr>
              <w:jc w:val="center"/>
              <w:rPr>
                <w:rFonts w:ascii="宋体" w:hAnsi="宋体" w:cs="宋体"/>
                <w:sz w:val="24"/>
                <w:szCs w:val="24"/>
              </w:rPr>
            </w:pPr>
            <w:r>
              <w:rPr>
                <w:rFonts w:hint="eastAsia" w:ascii="宋体" w:hAnsi="宋体" w:cs="宋体"/>
                <w:sz w:val="24"/>
                <w:szCs w:val="24"/>
              </w:rPr>
              <w:t>6、社区</w:t>
            </w:r>
          </w:p>
        </w:tc>
        <w:tc>
          <w:tcPr>
            <w:tcW w:w="2409" w:type="dxa"/>
            <w:vAlign w:val="center"/>
          </w:tcPr>
          <w:p>
            <w:pPr>
              <w:jc w:val="center"/>
              <w:rPr>
                <w:rFonts w:ascii="宋体" w:hAnsi="宋体" w:cs="宋体"/>
                <w:sz w:val="24"/>
                <w:szCs w:val="24"/>
              </w:rPr>
            </w:pPr>
            <w:r>
              <w:rPr>
                <w:rFonts w:hint="eastAsia" w:ascii="宋体" w:hAnsi="宋体" w:cs="宋体"/>
                <w:sz w:val="24"/>
                <w:szCs w:val="24"/>
              </w:rPr>
              <w:t>公司政策</w:t>
            </w:r>
          </w:p>
        </w:tc>
        <w:tc>
          <w:tcPr>
            <w:tcW w:w="4332" w:type="dxa"/>
            <w:vAlign w:val="center"/>
          </w:tcPr>
          <w:p>
            <w:pPr>
              <w:jc w:val="center"/>
              <w:rPr>
                <w:rFonts w:ascii="宋体" w:hAnsi="宋体" w:cs="宋体"/>
                <w:sz w:val="24"/>
                <w:szCs w:val="24"/>
              </w:rPr>
            </w:pPr>
            <w:r>
              <w:rPr>
                <w:rFonts w:hint="eastAsia" w:ascii="宋体" w:hAnsi="宋体" w:cs="宋体"/>
                <w:sz w:val="24"/>
                <w:szCs w:val="24"/>
              </w:rPr>
              <w:t>本着社区和谐相处的原则，积极推行社会公德、家庭美德教育，加强各类不稳定因素排查，确保企业一方平安。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55" w:type="dxa"/>
            <w:vMerge w:val="continue"/>
            <w:vAlign w:val="center"/>
          </w:tcPr>
          <w:p>
            <w:pPr>
              <w:jc w:val="center"/>
              <w:rPr>
                <w:rFonts w:ascii="宋体" w:hAnsi="宋体" w:cs="宋体"/>
                <w:sz w:val="24"/>
                <w:szCs w:val="24"/>
              </w:rPr>
            </w:pPr>
          </w:p>
        </w:tc>
        <w:tc>
          <w:tcPr>
            <w:tcW w:w="2409" w:type="dxa"/>
            <w:vAlign w:val="center"/>
          </w:tcPr>
          <w:p>
            <w:pPr>
              <w:jc w:val="center"/>
              <w:rPr>
                <w:rFonts w:ascii="宋体" w:hAnsi="宋体" w:cs="宋体"/>
                <w:sz w:val="24"/>
                <w:szCs w:val="24"/>
              </w:rPr>
            </w:pPr>
            <w:r>
              <w:rPr>
                <w:rFonts w:hint="eastAsia" w:ascii="宋体" w:hAnsi="宋体" w:cs="宋体"/>
                <w:sz w:val="24"/>
                <w:szCs w:val="24"/>
              </w:rPr>
              <w:t>社区稳定</w:t>
            </w:r>
          </w:p>
        </w:tc>
        <w:tc>
          <w:tcPr>
            <w:tcW w:w="4332" w:type="dxa"/>
            <w:vAlign w:val="center"/>
          </w:tcPr>
          <w:p>
            <w:pPr>
              <w:jc w:val="center"/>
              <w:rPr>
                <w:rFonts w:ascii="宋体" w:hAnsi="宋体" w:cs="宋体"/>
                <w:sz w:val="24"/>
                <w:szCs w:val="24"/>
              </w:rPr>
            </w:pPr>
            <w:r>
              <w:rPr>
                <w:rFonts w:hint="eastAsia" w:ascii="宋体" w:hAnsi="宋体" w:cs="宋体"/>
                <w:sz w:val="24"/>
                <w:szCs w:val="24"/>
              </w:rPr>
              <w:t>未发生重大违法刑事案件，未重大火灾事故、无重大群体性事件、无职工及其家属集体到政府上访事件。</w:t>
            </w:r>
          </w:p>
        </w:tc>
      </w:tr>
    </w:tbl>
    <w:p>
      <w:pPr>
        <w:ind w:firstLine="562" w:firstLineChars="200"/>
        <w:rPr>
          <w:rFonts w:ascii="宋体" w:hAnsi="宋体" w:cs="宋体"/>
          <w:b/>
          <w:sz w:val="28"/>
          <w:szCs w:val="28"/>
        </w:rPr>
      </w:pPr>
      <w:r>
        <w:rPr>
          <w:rFonts w:hint="eastAsia" w:ascii="宋体" w:hAnsi="宋体" w:cs="宋体"/>
          <w:b/>
          <w:sz w:val="28"/>
          <w:szCs w:val="28"/>
        </w:rPr>
        <w:t>二、公司促进国家和社会的全面发展情况</w:t>
      </w:r>
    </w:p>
    <w:p>
      <w:pPr>
        <w:ind w:firstLine="560" w:firstLineChars="200"/>
        <w:rPr>
          <w:rFonts w:ascii="宋体" w:hAnsi="宋体" w:cs="宋体"/>
          <w:sz w:val="28"/>
          <w:szCs w:val="28"/>
        </w:rPr>
      </w:pPr>
      <w:r>
        <w:rPr>
          <w:rFonts w:hint="eastAsia" w:ascii="宋体" w:hAnsi="宋体" w:cs="宋体"/>
          <w:sz w:val="28"/>
          <w:szCs w:val="28"/>
        </w:rPr>
        <w:t>公司的使命是创造财富、服务社会，以追求经济效益、社会效益和代表先进制造业为目标。在谋求公司价值过程中，积极回报社会，促进国家和社会发展。2020年，公司克服原料价格上涨、环保压力等因素，较好的完成生产目标任务：</w:t>
      </w:r>
    </w:p>
    <w:p>
      <w:pPr>
        <w:ind w:firstLine="560" w:firstLineChars="200"/>
        <w:rPr>
          <w:rFonts w:ascii="宋体" w:hAnsi="宋体" w:cs="宋体"/>
          <w:sz w:val="28"/>
          <w:szCs w:val="28"/>
        </w:rPr>
      </w:pPr>
      <w:r>
        <w:rPr>
          <w:rFonts w:hint="eastAsia" w:ascii="宋体" w:hAnsi="宋体" w:cs="宋体"/>
          <w:sz w:val="28"/>
          <w:szCs w:val="28"/>
        </w:rPr>
        <w:t>（1）完成工业总产值21923.84万元，上缴税费总额45.40万元，为国家和地方经济建设做出了积极贡献。</w:t>
      </w:r>
    </w:p>
    <w:p>
      <w:pPr>
        <w:ind w:firstLine="560" w:firstLineChars="200"/>
        <w:rPr>
          <w:rFonts w:ascii="宋体" w:hAnsi="宋体" w:cs="宋体"/>
          <w:sz w:val="28"/>
          <w:szCs w:val="28"/>
        </w:rPr>
      </w:pPr>
      <w:r>
        <w:rPr>
          <w:rFonts w:hint="eastAsia" w:ascii="宋体" w:hAnsi="宋体" w:cs="宋体"/>
          <w:sz w:val="28"/>
          <w:szCs w:val="28"/>
        </w:rPr>
        <w:t>（2）稳健经营、发展，为社会解决了大量的劳动力就业问题。截止2020年12月31日，公司在职员工人数为280人。</w:t>
      </w:r>
    </w:p>
    <w:p>
      <w:pPr>
        <w:ind w:firstLine="560" w:firstLineChars="200"/>
        <w:rPr>
          <w:rFonts w:ascii="宋体" w:hAnsi="宋体" w:cs="宋体"/>
          <w:sz w:val="28"/>
          <w:szCs w:val="28"/>
        </w:rPr>
      </w:pPr>
      <w:r>
        <w:rPr>
          <w:rFonts w:hint="eastAsia" w:ascii="宋体" w:hAnsi="宋体" w:cs="宋体"/>
          <w:sz w:val="28"/>
          <w:szCs w:val="28"/>
        </w:rPr>
        <w:t>（3）公司核心产业是大型机床铸件的设计和制造，公司依托省级认定企业技术中心等研发平台，2020年投入1416.20万元用于科研开发，领军国内大型机床铸件的技术发展。</w:t>
      </w:r>
    </w:p>
    <w:p>
      <w:pPr>
        <w:ind w:firstLine="560" w:firstLineChars="200"/>
        <w:rPr>
          <w:rFonts w:ascii="宋体" w:hAnsi="宋体" w:cs="宋体"/>
          <w:sz w:val="28"/>
          <w:szCs w:val="28"/>
        </w:rPr>
      </w:pPr>
      <w:r>
        <w:rPr>
          <w:rFonts w:hint="eastAsia" w:ascii="宋体" w:hAnsi="宋体" w:cs="宋体"/>
          <w:sz w:val="28"/>
          <w:szCs w:val="28"/>
        </w:rPr>
        <w:t>（4）公司是国家、芜湖市专精特新小巨人企业，安徽省铸造协会副会长单位，中国铸造协会机床铸件分会副理事长单位。公司与合肥工业大学、安徽工程大学建立了产学研合作平台。公司目前拥有授权专利24项，其中发明专利8项，2020年已申报受理专利16项，其中发明专利16项。拥有省科技成果2项，安徽省高新技术产品2项。其中多级孕育技术、复合球化技术、龙门加工中心方滑枕铸造技术（成品率大于95%，国内同行成品率仅50-60%）、消失模实型铸造生产超长床身工艺、大断面球铁铸造技术等是公司专有独特技术，处于行业领先地位。</w:t>
      </w:r>
    </w:p>
    <w:p>
      <w:pPr>
        <w:ind w:firstLine="560" w:firstLineChars="200"/>
        <w:rPr>
          <w:rFonts w:ascii="宋体" w:hAnsi="宋体" w:cs="宋体"/>
          <w:sz w:val="28"/>
          <w:szCs w:val="28"/>
        </w:rPr>
      </w:pPr>
      <w:r>
        <w:rPr>
          <w:rFonts w:hint="eastAsia" w:ascii="宋体" w:hAnsi="宋体" w:cs="宋体"/>
          <w:sz w:val="28"/>
          <w:szCs w:val="28"/>
        </w:rPr>
        <w:t>（5）公司参与编写了行业《金属切削机床球墨铸铁件技术条件》、《金属切削机床表面质量》等团体标准3项。公司产品采用的树脂砂造型工艺，中频电炉熔炼工艺创造了产品单件可达50吨，为省内最大单件生产企业，其中高强度灰铸铁件和厚大断面球墨铸铁件是公司特有的技术优势，主要产品包括机床铸件、机电铸件、加工中心铸件等其他铸件，构建了涵盖电力、塑料机械、船舶、加工中心等多个成套装备制造行业的多元化产品体系，这有利于公司规避单一行业需求波动风险，降低生产经营受下游某一特定行业景气周期变化的不利影响。。</w:t>
      </w:r>
    </w:p>
    <w:p>
      <w:pPr>
        <w:ind w:firstLine="562" w:firstLineChars="200"/>
        <w:rPr>
          <w:rFonts w:ascii="宋体" w:hAnsi="宋体" w:cs="宋体"/>
          <w:b/>
          <w:sz w:val="28"/>
          <w:szCs w:val="28"/>
        </w:rPr>
      </w:pPr>
      <w:r>
        <w:rPr>
          <w:rFonts w:hint="eastAsia" w:ascii="宋体" w:hAnsi="宋体" w:cs="宋体"/>
          <w:b/>
          <w:sz w:val="28"/>
          <w:szCs w:val="28"/>
        </w:rPr>
        <w:t>三、公司对债权人权益保护情况</w:t>
      </w:r>
    </w:p>
    <w:p>
      <w:pPr>
        <w:ind w:firstLine="560" w:firstLineChars="200"/>
        <w:rPr>
          <w:rFonts w:ascii="宋体" w:hAnsi="宋体" w:cs="宋体"/>
          <w:sz w:val="28"/>
          <w:szCs w:val="28"/>
        </w:rPr>
      </w:pPr>
      <w:r>
        <w:rPr>
          <w:rFonts w:hint="eastAsia" w:ascii="宋体" w:hAnsi="宋体" w:cs="宋体"/>
          <w:sz w:val="28"/>
          <w:szCs w:val="28"/>
        </w:rPr>
        <w:t>公司奉行稳健、持续的经营理念，严格控制经营风险，保护债权人的长远利益。公司在经营决策过程中，充分考虑债权人的合法权益，及时向债权人通报与其债权权益相关的重大信息，并按时归还借款及上缴税收，保证相关方良好的合作关系，使公司能够顺利筹措资金，为公司长远发展奠定了良好的基础。</w:t>
      </w:r>
    </w:p>
    <w:p>
      <w:pPr>
        <w:ind w:firstLine="562" w:firstLineChars="200"/>
        <w:rPr>
          <w:rFonts w:ascii="宋体" w:hAnsi="宋体" w:cs="宋体"/>
          <w:b/>
          <w:sz w:val="28"/>
          <w:szCs w:val="28"/>
        </w:rPr>
      </w:pPr>
      <w:r>
        <w:rPr>
          <w:rFonts w:hint="eastAsia" w:ascii="宋体" w:hAnsi="宋体" w:cs="宋体"/>
          <w:b/>
          <w:sz w:val="28"/>
          <w:szCs w:val="28"/>
        </w:rPr>
        <w:t>四、公司对职工权益保护情况</w:t>
      </w:r>
    </w:p>
    <w:p>
      <w:pPr>
        <w:ind w:firstLine="560" w:firstLineChars="200"/>
        <w:rPr>
          <w:rFonts w:ascii="宋体" w:hAnsi="宋体" w:cs="宋体"/>
          <w:sz w:val="28"/>
          <w:szCs w:val="28"/>
        </w:rPr>
      </w:pPr>
      <w:r>
        <w:rPr>
          <w:rFonts w:hint="eastAsia" w:ascii="宋体" w:hAnsi="宋体" w:cs="宋体"/>
          <w:sz w:val="28"/>
          <w:szCs w:val="28"/>
        </w:rPr>
        <w:t>公司全心全意服务职工作为工会工作的出发点和落脚点，千方百计为职工排忧解难，组织全体员工参加体检，采购防暑降温用品，在盛夏来临之际发放给员工。围绕企业战略发展目标制定了人才发展规划，逐步形成了人才规划、引进、使用、评价、激励、退出的闭环管理，进一步完善了培训体系建设，分层次分重点搞好安全、技能等各级各类培训，提高员工队伍综合素质。公司员工劳动合同签订率达100%，及时续签率100%；杜绝了重大安全事故和人身伤亡事故，职业病发病率为0；五险一金按国家规定，全额缴纳，覆盖率100%。</w:t>
      </w:r>
    </w:p>
    <w:p>
      <w:pPr>
        <w:ind w:firstLine="562" w:firstLineChars="200"/>
        <w:rPr>
          <w:rFonts w:ascii="宋体" w:hAnsi="宋体" w:cs="宋体"/>
          <w:b/>
          <w:sz w:val="28"/>
          <w:szCs w:val="28"/>
        </w:rPr>
      </w:pPr>
      <w:r>
        <w:rPr>
          <w:rFonts w:hint="eastAsia" w:ascii="宋体" w:hAnsi="宋体" w:cs="宋体"/>
          <w:b/>
          <w:sz w:val="28"/>
          <w:szCs w:val="28"/>
        </w:rPr>
        <w:t>五、公司对供应商权益的保护情况</w:t>
      </w:r>
    </w:p>
    <w:p>
      <w:pPr>
        <w:ind w:firstLine="560" w:firstLineChars="200"/>
        <w:rPr>
          <w:rFonts w:ascii="宋体" w:hAnsi="宋体" w:cs="宋体"/>
          <w:sz w:val="28"/>
          <w:szCs w:val="28"/>
        </w:rPr>
      </w:pPr>
      <w:r>
        <w:rPr>
          <w:rFonts w:hint="eastAsia" w:ascii="宋体" w:hAnsi="宋体" w:cs="宋体"/>
          <w:sz w:val="28"/>
          <w:szCs w:val="28"/>
        </w:rPr>
        <w:t>公司对供应商坚持公平、公开、公正的原则，实行年度新供应商招投标、老供应商评标的制度，确定合格供应商资格。在采购过程中，坚持所有采购原材料公开、公平竞价，到货物资由独立的质检部门进行检验，判定优劣；货款结算根据合同的到货挂账时间和类别，到期货款自动支付，本着合作共赢原则，与供应商建立长期合作的发展关系，确保生产的顺利进行。</w:t>
      </w:r>
    </w:p>
    <w:p>
      <w:pPr>
        <w:ind w:firstLine="560" w:firstLineChars="200"/>
        <w:rPr>
          <w:rFonts w:ascii="宋体" w:hAnsi="宋体" w:cs="宋体"/>
          <w:sz w:val="28"/>
          <w:szCs w:val="28"/>
        </w:rPr>
      </w:pPr>
      <w:r>
        <w:rPr>
          <w:rFonts w:hint="eastAsia" w:ascii="宋体" w:hAnsi="宋体" w:cs="宋体"/>
          <w:sz w:val="28"/>
          <w:szCs w:val="28"/>
        </w:rPr>
        <w:t>公司与供应商签订廉洁责任书，2020年，公司无商业贿赂案件，腐败案件为0。</w:t>
      </w:r>
    </w:p>
    <w:p>
      <w:pPr>
        <w:ind w:firstLine="562" w:firstLineChars="200"/>
        <w:rPr>
          <w:rFonts w:ascii="宋体" w:hAnsi="宋体" w:cs="宋体"/>
          <w:b/>
          <w:sz w:val="28"/>
          <w:szCs w:val="28"/>
        </w:rPr>
      </w:pPr>
      <w:r>
        <w:rPr>
          <w:rFonts w:hint="eastAsia" w:ascii="宋体" w:hAnsi="宋体" w:cs="宋体"/>
          <w:b/>
          <w:sz w:val="28"/>
          <w:szCs w:val="28"/>
        </w:rPr>
        <w:t>六、公司对客户保护情况</w:t>
      </w:r>
    </w:p>
    <w:p>
      <w:pPr>
        <w:ind w:firstLine="560" w:firstLineChars="200"/>
        <w:rPr>
          <w:rFonts w:ascii="宋体" w:hAnsi="宋体" w:cs="宋体"/>
          <w:sz w:val="28"/>
          <w:szCs w:val="28"/>
        </w:rPr>
      </w:pPr>
      <w:r>
        <w:rPr>
          <w:rFonts w:hint="eastAsia" w:ascii="宋体" w:hAnsi="宋体" w:cs="宋体"/>
          <w:sz w:val="28"/>
          <w:szCs w:val="28"/>
        </w:rPr>
        <w:t>本着客户是上帝的原则，要求所有客服人员，热情接待每一位咨询客户，为客户解答有关产品的各种问题。严把质量关，确保每一个订单发出，并全程跟踪订单，遇到任何物流异常情况，及时和物流公司、客户沟通协调处理。对于交易纠纷，本着客户优先的原则，按照各平台处理规则，及时为客户处理。为此，我们对所有客户提供无理由退换服务，让客户放心买，称心用，将消费者的损失降到零。</w:t>
      </w:r>
    </w:p>
    <w:p>
      <w:pPr>
        <w:ind w:firstLine="560" w:firstLineChars="200"/>
        <w:rPr>
          <w:rFonts w:ascii="宋体" w:hAnsi="宋体" w:cs="宋体"/>
          <w:sz w:val="28"/>
          <w:szCs w:val="28"/>
        </w:rPr>
      </w:pPr>
      <w:r>
        <w:rPr>
          <w:rFonts w:hint="eastAsia" w:ascii="宋体" w:hAnsi="宋体" w:cs="宋体"/>
          <w:sz w:val="28"/>
          <w:szCs w:val="28"/>
        </w:rPr>
        <w:t>2020年，公司客户满意率98%，商业贿赂案件和腐败案件为0，顾客投诉为0，有关部门质量查处为0，产品质量赔偿为0，公司质量管理体系通过第三方复审认证。</w:t>
      </w:r>
    </w:p>
    <w:p>
      <w:pPr>
        <w:ind w:firstLine="562" w:firstLineChars="200"/>
        <w:rPr>
          <w:rFonts w:ascii="宋体" w:hAnsi="宋体" w:cs="宋体"/>
          <w:b/>
          <w:sz w:val="28"/>
          <w:szCs w:val="28"/>
        </w:rPr>
      </w:pPr>
      <w:r>
        <w:rPr>
          <w:rFonts w:hint="eastAsia" w:ascii="宋体" w:hAnsi="宋体" w:cs="宋体"/>
          <w:b/>
          <w:sz w:val="28"/>
          <w:szCs w:val="28"/>
        </w:rPr>
        <w:t>七、公司环境保护和节能减排情况</w:t>
      </w:r>
    </w:p>
    <w:p>
      <w:pPr>
        <w:ind w:firstLine="560" w:firstLineChars="200"/>
        <w:rPr>
          <w:rFonts w:ascii="宋体" w:hAnsi="宋体" w:cs="宋体"/>
          <w:sz w:val="28"/>
          <w:szCs w:val="28"/>
        </w:rPr>
      </w:pPr>
      <w:r>
        <w:rPr>
          <w:rFonts w:hint="eastAsia" w:ascii="宋体" w:hAnsi="宋体" w:cs="宋体"/>
          <w:sz w:val="28"/>
          <w:szCs w:val="28"/>
        </w:rPr>
        <w:t>公司建立环境管理体系，生产过程浇注、抛丸机产生的粉尘用布袋式除尘机吸附后排放。针对喷漆废气采用负压收集、浇注废气采用集气罩收集，同时车间内采取分区，喷漆房保持微负压状态，提高收集效率。项目喷漆、晾干废气采取活性炭吸附脱附+催化燃烧措施处理，去除效率可达 95%，浇注废气采用两级活性炭吸附处理，去除效率达到 85%，排放浓度满足《铸造工业大气污染物排放标准》（GB39726-2020）。达到高效、节能、降耗、减污的目的，在行业内树立了标杆。</w:t>
      </w:r>
    </w:p>
    <w:p>
      <w:pPr>
        <w:ind w:firstLine="562" w:firstLineChars="200"/>
        <w:rPr>
          <w:rFonts w:ascii="宋体" w:hAnsi="宋体" w:cs="宋体"/>
          <w:b/>
          <w:sz w:val="28"/>
          <w:szCs w:val="28"/>
        </w:rPr>
      </w:pPr>
      <w:r>
        <w:rPr>
          <w:rFonts w:hint="eastAsia" w:ascii="宋体" w:hAnsi="宋体" w:cs="宋体"/>
          <w:b/>
          <w:sz w:val="28"/>
          <w:szCs w:val="28"/>
        </w:rPr>
        <w:t>八、公司对社区责任情况</w:t>
      </w:r>
    </w:p>
    <w:p>
      <w:pPr>
        <w:ind w:firstLine="560" w:firstLineChars="200"/>
        <w:rPr>
          <w:rFonts w:ascii="宋体" w:hAnsi="宋体" w:cs="宋体"/>
          <w:sz w:val="28"/>
          <w:szCs w:val="28"/>
        </w:rPr>
      </w:pPr>
      <w:r>
        <w:rPr>
          <w:rFonts w:hint="eastAsia" w:ascii="宋体" w:hAnsi="宋体" w:cs="宋体"/>
          <w:sz w:val="28"/>
          <w:szCs w:val="28"/>
        </w:rPr>
        <w:t>创建平安企业既是企业自身发展的需要，也是企业的社会责任。芜湖久弘重工履行创建平安企业，促进平安繁昌建设要求，本着与社区和谐相处的原则，积极推行社会公德、家庭美德教育，加强各类不稳定因素排查，确保企业一方平安。</w:t>
      </w:r>
    </w:p>
    <w:p>
      <w:pPr>
        <w:ind w:firstLine="560" w:firstLineChars="200"/>
        <w:rPr>
          <w:rFonts w:ascii="宋体" w:hAnsi="宋体" w:cs="宋体"/>
          <w:sz w:val="28"/>
          <w:szCs w:val="28"/>
        </w:rPr>
      </w:pPr>
      <w:r>
        <w:rPr>
          <w:rFonts w:hint="eastAsia" w:ascii="宋体" w:hAnsi="宋体" w:cs="宋体"/>
          <w:sz w:val="28"/>
          <w:szCs w:val="28"/>
        </w:rPr>
        <w:t>构建治安防范基础体系。企业以防火灾、防爆炸、防盗窃、防破坏、防泄密和化解内部矛盾为主要工作内容，以要害部位和职工关注的热点、焦点、难点问题为防范重点，积极采用人防、物防、技防等措施，建立内部矛盾调解机制，做好本单位治安防范工作。</w:t>
      </w:r>
    </w:p>
    <w:p>
      <w:pPr>
        <w:ind w:firstLine="560" w:firstLineChars="200"/>
        <w:rPr>
          <w:rFonts w:ascii="宋体" w:hAnsi="宋体" w:cs="宋体"/>
          <w:sz w:val="28"/>
          <w:szCs w:val="28"/>
        </w:rPr>
      </w:pPr>
      <w:r>
        <w:rPr>
          <w:rFonts w:hint="eastAsia" w:ascii="宋体" w:hAnsi="宋体" w:cs="宋体"/>
          <w:sz w:val="28"/>
          <w:szCs w:val="28"/>
        </w:rPr>
        <w:t>2020年企业无重大违法刑事案件、无重大火灾事故、无重大群体性事件、无职工及家属集体到政府上访事件的指标，确保了企业安全，促进社会的和谐、稳定。</w:t>
      </w:r>
    </w:p>
    <w:p>
      <w:pPr>
        <w:ind w:firstLine="560" w:firstLineChars="200"/>
        <w:rPr>
          <w:rFonts w:ascii="宋体" w:hAnsi="宋体" w:cs="宋体"/>
          <w:sz w:val="28"/>
          <w:szCs w:val="28"/>
        </w:rPr>
      </w:pPr>
      <w:r>
        <w:rPr>
          <w:rFonts w:hint="eastAsia" w:ascii="宋体" w:hAnsi="宋体" w:cs="宋体"/>
          <w:sz w:val="28"/>
          <w:szCs w:val="28"/>
        </w:rPr>
        <w:t>在2020年新冠疫情防控期间，公司先后捐资捐物达39万元。较好的体现企业社会责任。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D6A22"/>
    <w:rsid w:val="484D6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2021-10-08T06:41:00Z</dcterms:created>
  <dc:creator>吴敏</dc:creator>
  <cp:lastModifiedBy>吴敏</cp:lastModifiedBy>
  <dcterms:modified xsi:type="dcterms:W3CDTF">2021-10-08T06:41:31Z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905B6AA6B1E34B58A6B52FFAB1CA6BA5</vt:lpwstr>
  </property>
</Properties>
</file>